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A0FF9" w14:textId="62854340" w:rsidR="009B641C" w:rsidRPr="009B641C" w:rsidRDefault="009B641C" w:rsidP="009B641C">
      <w:pPr>
        <w:spacing w:line="256" w:lineRule="auto"/>
        <w:rPr>
          <w:rFonts w:ascii="&amp;quot" w:eastAsia="Times New Roman" w:hAnsi="&amp;quot" w:cs="Times New Roman"/>
          <w:color w:val="000000"/>
          <w:sz w:val="24"/>
          <w:szCs w:val="24"/>
          <w:lang w:eastAsia="en-GB"/>
        </w:rPr>
      </w:pPr>
      <w:r w:rsidRPr="009B641C">
        <w:rPr>
          <w:rFonts w:ascii="&amp;quot" w:eastAsia="Times New Roman" w:hAnsi="&amp;quot" w:cs="Times New Roman"/>
          <w:b/>
          <w:bCs/>
          <w:color w:val="000000"/>
          <w:sz w:val="24"/>
          <w:szCs w:val="24"/>
          <w:lang w:eastAsia="en-GB"/>
        </w:rPr>
        <w:t xml:space="preserve">Declaration </w:t>
      </w:r>
      <w:r w:rsidRPr="009B641C">
        <w:rPr>
          <w:rFonts w:ascii="&amp;quot" w:eastAsia="Times New Roman" w:hAnsi="&amp;quot" w:cs="Times New Roman"/>
          <w:b/>
          <w:bCs/>
          <w:color w:val="000000"/>
          <w:sz w:val="24"/>
          <w:szCs w:val="24"/>
          <w:lang w:eastAsia="en-GB"/>
        </w:rPr>
        <w:t>FAQs (Frequently Asked Questions)</w:t>
      </w:r>
      <w:r w:rsidRPr="009B641C">
        <w:rPr>
          <w:rFonts w:ascii="&amp;quot" w:eastAsia="Times New Roman" w:hAnsi="&amp;quot" w:cs="Times New Roman"/>
          <w:b/>
          <w:bCs/>
          <w:color w:val="000000"/>
          <w:sz w:val="24"/>
          <w:szCs w:val="24"/>
          <w:lang w:eastAsia="en-GB"/>
        </w:rPr>
        <w:t xml:space="preserve"> </w:t>
      </w:r>
    </w:p>
    <w:p w14:paraId="02938852" w14:textId="77777777" w:rsidR="009B641C" w:rsidRPr="009B641C" w:rsidRDefault="009B641C" w:rsidP="009B641C">
      <w:pPr>
        <w:spacing w:line="256" w:lineRule="auto"/>
        <w:rPr>
          <w:rFonts w:ascii="&amp;quot" w:eastAsia="Times New Roman" w:hAnsi="&amp;quot" w:cs="Times New Roman"/>
          <w:color w:val="000000"/>
          <w:sz w:val="24"/>
          <w:szCs w:val="24"/>
          <w:lang w:eastAsia="en-GB"/>
        </w:rPr>
      </w:pPr>
      <w:r w:rsidRPr="009B641C">
        <w:rPr>
          <w:rFonts w:ascii="&amp;quot" w:eastAsia="Times New Roman" w:hAnsi="&amp;quot" w:cs="Times New Roman"/>
          <w:b/>
          <w:bCs/>
          <w:color w:val="000000"/>
          <w:sz w:val="24"/>
          <w:szCs w:val="24"/>
          <w:lang w:eastAsia="en-GB"/>
        </w:rPr>
        <w:t>The Declaration erases trans people:</w:t>
      </w:r>
    </w:p>
    <w:p w14:paraId="70E1627D" w14:textId="77777777" w:rsidR="009B641C" w:rsidRPr="009B641C" w:rsidRDefault="009B641C" w:rsidP="009B641C">
      <w:pPr>
        <w:spacing w:line="256" w:lineRule="auto"/>
        <w:rPr>
          <w:rFonts w:ascii="&amp;quot" w:eastAsia="Times New Roman" w:hAnsi="&amp;quot" w:cs="Times New Roman"/>
          <w:color w:val="000000"/>
          <w:sz w:val="24"/>
          <w:szCs w:val="24"/>
          <w:lang w:eastAsia="en-GB"/>
        </w:rPr>
      </w:pPr>
      <w:r w:rsidRPr="009B641C">
        <w:rPr>
          <w:rFonts w:ascii="&amp;quot" w:eastAsia="Times New Roman" w:hAnsi="&amp;quot" w:cs="Times New Roman"/>
          <w:color w:val="000000"/>
          <w:sz w:val="24"/>
          <w:szCs w:val="24"/>
          <w:lang w:eastAsia="en-GB"/>
        </w:rPr>
        <w:t xml:space="preserve">Affirming women’s human rights as based on sex cannot ‘erase’ anyone. </w:t>
      </w:r>
    </w:p>
    <w:p w14:paraId="118C582A" w14:textId="77777777" w:rsidR="009B641C" w:rsidRPr="009B641C" w:rsidRDefault="009B641C" w:rsidP="009B641C">
      <w:pPr>
        <w:spacing w:line="256" w:lineRule="auto"/>
        <w:rPr>
          <w:rFonts w:ascii="&amp;quot" w:eastAsia="Times New Roman" w:hAnsi="&amp;quot" w:cs="Times New Roman"/>
          <w:color w:val="000000"/>
          <w:sz w:val="24"/>
          <w:szCs w:val="24"/>
          <w:lang w:eastAsia="en-GB"/>
        </w:rPr>
      </w:pPr>
      <w:r w:rsidRPr="009B641C">
        <w:rPr>
          <w:rFonts w:ascii="&amp;quot" w:eastAsia="Times New Roman" w:hAnsi="&amp;quot" w:cs="Times New Roman"/>
          <w:color w:val="000000"/>
          <w:sz w:val="24"/>
          <w:szCs w:val="24"/>
          <w:lang w:eastAsia="en-GB"/>
        </w:rPr>
        <w:t> </w:t>
      </w:r>
    </w:p>
    <w:p w14:paraId="501F0C50" w14:textId="77777777" w:rsidR="009B641C" w:rsidRPr="009B641C" w:rsidRDefault="009B641C" w:rsidP="009B641C">
      <w:pPr>
        <w:spacing w:line="256" w:lineRule="auto"/>
        <w:rPr>
          <w:rFonts w:ascii="&amp;quot" w:eastAsia="Times New Roman" w:hAnsi="&amp;quot" w:cs="Times New Roman"/>
          <w:color w:val="000000"/>
          <w:sz w:val="24"/>
          <w:szCs w:val="24"/>
          <w:lang w:eastAsia="en-GB"/>
        </w:rPr>
      </w:pPr>
      <w:r w:rsidRPr="009B641C">
        <w:rPr>
          <w:rFonts w:ascii="&amp;quot" w:eastAsia="Times New Roman" w:hAnsi="&amp;quot" w:cs="Times New Roman"/>
          <w:b/>
          <w:bCs/>
          <w:color w:val="000000"/>
          <w:sz w:val="24"/>
          <w:szCs w:val="24"/>
          <w:lang w:eastAsia="en-GB"/>
        </w:rPr>
        <w:t>WHRC/Declaration believes that trans people should not exist:</w:t>
      </w:r>
    </w:p>
    <w:p w14:paraId="522836B9" w14:textId="77777777" w:rsidR="009B641C" w:rsidRPr="009B641C" w:rsidRDefault="009B641C" w:rsidP="009B641C">
      <w:pPr>
        <w:spacing w:line="256" w:lineRule="auto"/>
        <w:rPr>
          <w:rFonts w:ascii="&amp;quot" w:eastAsia="Times New Roman" w:hAnsi="&amp;quot" w:cs="Times New Roman"/>
          <w:color w:val="000000"/>
          <w:sz w:val="24"/>
          <w:szCs w:val="24"/>
          <w:lang w:eastAsia="en-GB"/>
        </w:rPr>
      </w:pPr>
      <w:r w:rsidRPr="009B641C">
        <w:rPr>
          <w:rFonts w:ascii="&amp;quot" w:eastAsia="Times New Roman" w:hAnsi="&amp;quot" w:cs="Times New Roman"/>
          <w:color w:val="000000"/>
          <w:sz w:val="24"/>
          <w:szCs w:val="24"/>
          <w:lang w:eastAsia="en-GB"/>
        </w:rPr>
        <w:t>The Declaration does argue that men with a female gender identity should not be included in the category women in the context of women’s human rights. It is unreasonable hyperbole to suggest that this can cause any person not to exist.  </w:t>
      </w:r>
    </w:p>
    <w:p w14:paraId="1E58ECF6" w14:textId="2D71DAAC" w:rsidR="009B641C" w:rsidRPr="009B641C" w:rsidRDefault="009B641C" w:rsidP="009B641C">
      <w:pPr>
        <w:spacing w:line="256" w:lineRule="auto"/>
        <w:rPr>
          <w:rFonts w:ascii="Times New Roman" w:eastAsia="Times New Roman" w:hAnsi="Times New Roman" w:cs="Times New Roman"/>
          <w:sz w:val="24"/>
          <w:szCs w:val="24"/>
          <w:lang w:eastAsia="en-GB"/>
        </w:rPr>
      </w:pPr>
      <w:r w:rsidRPr="009B641C">
        <w:rPr>
          <w:rFonts w:ascii="&amp;quot" w:eastAsia="Times New Roman" w:hAnsi="&amp;quot" w:cs="Times New Roman"/>
          <w:color w:val="000000"/>
          <w:sz w:val="24"/>
          <w:szCs w:val="24"/>
          <w:lang w:eastAsia="en-GB"/>
        </w:rPr>
        <w:t> </w:t>
      </w:r>
    </w:p>
    <w:p w14:paraId="54876292" w14:textId="77777777" w:rsidR="009B641C" w:rsidRPr="009B641C" w:rsidRDefault="009B641C" w:rsidP="009B641C">
      <w:pPr>
        <w:spacing w:line="256" w:lineRule="auto"/>
        <w:rPr>
          <w:rFonts w:ascii="&amp;quot" w:eastAsia="Times New Roman" w:hAnsi="&amp;quot" w:cs="Times New Roman"/>
          <w:color w:val="000000"/>
          <w:sz w:val="24"/>
          <w:szCs w:val="24"/>
          <w:lang w:eastAsia="en-GB"/>
        </w:rPr>
      </w:pPr>
      <w:r w:rsidRPr="009B641C">
        <w:rPr>
          <w:rFonts w:ascii="&amp;quot" w:eastAsia="Times New Roman" w:hAnsi="&amp;quot" w:cs="Times New Roman"/>
          <w:b/>
          <w:bCs/>
          <w:color w:val="000000"/>
          <w:sz w:val="24"/>
          <w:szCs w:val="24"/>
          <w:lang w:eastAsia="en-GB"/>
        </w:rPr>
        <w:t>There is no conflict between women’s rights and trans-rights:</w:t>
      </w:r>
    </w:p>
    <w:p w14:paraId="68DD66A2" w14:textId="77777777" w:rsidR="009B641C" w:rsidRPr="009B641C" w:rsidRDefault="009B641C" w:rsidP="009B641C">
      <w:pPr>
        <w:spacing w:line="256" w:lineRule="auto"/>
        <w:rPr>
          <w:rFonts w:ascii="&amp;quot" w:eastAsia="Times New Roman" w:hAnsi="&amp;quot" w:cs="Times New Roman"/>
          <w:color w:val="000000"/>
          <w:sz w:val="24"/>
          <w:szCs w:val="24"/>
          <w:lang w:eastAsia="en-GB"/>
        </w:rPr>
      </w:pPr>
      <w:r w:rsidRPr="009B641C">
        <w:rPr>
          <w:rFonts w:ascii="&amp;quot" w:eastAsia="Times New Roman" w:hAnsi="&amp;quot" w:cs="Times New Roman"/>
          <w:color w:val="000000"/>
          <w:sz w:val="24"/>
          <w:szCs w:val="24"/>
          <w:lang w:eastAsia="en-GB"/>
        </w:rPr>
        <w:t>The Declaration states quite clearly that there is a conflict and gives many examples where this is the case such as the placing of men who are violent sex offenders in women’s prisons, and the inclusion of men in women’s sporting competitions.</w:t>
      </w:r>
    </w:p>
    <w:p w14:paraId="10B74EC3" w14:textId="77777777" w:rsidR="009B641C" w:rsidRPr="009B641C" w:rsidRDefault="009B641C" w:rsidP="009B641C">
      <w:pPr>
        <w:spacing w:line="256" w:lineRule="auto"/>
        <w:rPr>
          <w:rFonts w:ascii="&amp;quot" w:eastAsia="Times New Roman" w:hAnsi="&amp;quot" w:cs="Times New Roman"/>
          <w:color w:val="000000"/>
          <w:sz w:val="24"/>
          <w:szCs w:val="24"/>
          <w:lang w:eastAsia="en-GB"/>
        </w:rPr>
      </w:pPr>
      <w:r w:rsidRPr="009B641C">
        <w:rPr>
          <w:rFonts w:ascii="&amp;quot" w:eastAsia="Times New Roman" w:hAnsi="&amp;quot" w:cs="Times New Roman"/>
          <w:color w:val="000000"/>
          <w:sz w:val="24"/>
          <w:szCs w:val="24"/>
          <w:lang w:eastAsia="en-GB"/>
        </w:rPr>
        <w:t> </w:t>
      </w:r>
    </w:p>
    <w:p w14:paraId="6355569F" w14:textId="77777777" w:rsidR="009B641C" w:rsidRPr="009B641C" w:rsidRDefault="009B641C" w:rsidP="009B641C">
      <w:pPr>
        <w:spacing w:line="256" w:lineRule="auto"/>
        <w:rPr>
          <w:rFonts w:ascii="&amp;quot" w:eastAsia="Times New Roman" w:hAnsi="&amp;quot" w:cs="Times New Roman"/>
          <w:color w:val="000000"/>
          <w:sz w:val="24"/>
          <w:szCs w:val="24"/>
          <w:lang w:eastAsia="en-GB"/>
        </w:rPr>
      </w:pPr>
      <w:r w:rsidRPr="009B641C">
        <w:rPr>
          <w:rFonts w:ascii="&amp;quot" w:eastAsia="Times New Roman" w:hAnsi="&amp;quot" w:cs="Times New Roman"/>
          <w:b/>
          <w:bCs/>
          <w:color w:val="000000"/>
          <w:sz w:val="24"/>
          <w:szCs w:val="24"/>
          <w:lang w:eastAsia="en-GB"/>
        </w:rPr>
        <w:t xml:space="preserve">Declaration solely focused on stigmatising </w:t>
      </w:r>
      <w:proofErr w:type="spellStart"/>
      <w:r w:rsidRPr="009B641C">
        <w:rPr>
          <w:rFonts w:ascii="&amp;quot" w:eastAsia="Times New Roman" w:hAnsi="&amp;quot" w:cs="Times New Roman"/>
          <w:b/>
          <w:bCs/>
          <w:color w:val="000000"/>
          <w:sz w:val="24"/>
          <w:szCs w:val="24"/>
          <w:lang w:eastAsia="en-GB"/>
        </w:rPr>
        <w:t>transpeople</w:t>
      </w:r>
      <w:proofErr w:type="spellEnd"/>
      <w:r w:rsidRPr="009B641C">
        <w:rPr>
          <w:rFonts w:ascii="&amp;quot" w:eastAsia="Times New Roman" w:hAnsi="&amp;quot" w:cs="Times New Roman"/>
          <w:b/>
          <w:bCs/>
          <w:color w:val="000000"/>
          <w:sz w:val="24"/>
          <w:szCs w:val="24"/>
          <w:lang w:eastAsia="en-GB"/>
        </w:rPr>
        <w:t>/removing their rights</w:t>
      </w:r>
      <w:r w:rsidRPr="009B641C">
        <w:rPr>
          <w:rFonts w:ascii="&amp;quot" w:eastAsia="Times New Roman" w:hAnsi="&amp;quot" w:cs="Times New Roman"/>
          <w:color w:val="000000"/>
          <w:sz w:val="24"/>
          <w:szCs w:val="24"/>
          <w:lang w:eastAsia="en-GB"/>
        </w:rPr>
        <w:t>:</w:t>
      </w:r>
    </w:p>
    <w:p w14:paraId="5BE8EC0D" w14:textId="77777777" w:rsidR="009B641C" w:rsidRPr="009B641C" w:rsidRDefault="009B641C" w:rsidP="009B641C">
      <w:pPr>
        <w:spacing w:line="256" w:lineRule="auto"/>
        <w:rPr>
          <w:rFonts w:ascii="&amp;quot" w:eastAsia="Times New Roman" w:hAnsi="&amp;quot" w:cs="Times New Roman"/>
          <w:color w:val="000000"/>
          <w:sz w:val="24"/>
          <w:szCs w:val="24"/>
          <w:lang w:eastAsia="en-GB"/>
        </w:rPr>
      </w:pPr>
      <w:r w:rsidRPr="009B641C">
        <w:rPr>
          <w:rFonts w:ascii="&amp;quot" w:eastAsia="Times New Roman" w:hAnsi="&amp;quot" w:cs="Times New Roman"/>
          <w:color w:val="000000"/>
          <w:sz w:val="24"/>
          <w:szCs w:val="24"/>
          <w:lang w:eastAsia="en-GB"/>
        </w:rPr>
        <w:t xml:space="preserve">The Declaration does argue that men with a female gender identity should not be included in the category women in the context of women’s human rights. It is unreasonable to suggest that promoting women’s rights ‘stigmatises’ any group of </w:t>
      </w:r>
      <w:proofErr w:type="gramStart"/>
      <w:r w:rsidRPr="009B641C">
        <w:rPr>
          <w:rFonts w:ascii="&amp;quot" w:eastAsia="Times New Roman" w:hAnsi="&amp;quot" w:cs="Times New Roman"/>
          <w:color w:val="000000"/>
          <w:sz w:val="24"/>
          <w:szCs w:val="24"/>
          <w:lang w:eastAsia="en-GB"/>
        </w:rPr>
        <w:t>men, or</w:t>
      </w:r>
      <w:proofErr w:type="gramEnd"/>
      <w:r w:rsidRPr="009B641C">
        <w:rPr>
          <w:rFonts w:ascii="&amp;quot" w:eastAsia="Times New Roman" w:hAnsi="&amp;quot" w:cs="Times New Roman"/>
          <w:color w:val="000000"/>
          <w:sz w:val="24"/>
          <w:szCs w:val="24"/>
          <w:lang w:eastAsia="en-GB"/>
        </w:rPr>
        <w:t xml:space="preserve"> removes rights from them.</w:t>
      </w:r>
    </w:p>
    <w:p w14:paraId="11B483D8" w14:textId="77777777" w:rsidR="009B641C" w:rsidRPr="009B641C" w:rsidRDefault="009B641C" w:rsidP="009B641C">
      <w:pPr>
        <w:spacing w:line="256" w:lineRule="auto"/>
        <w:rPr>
          <w:rFonts w:ascii="&amp;quot" w:eastAsia="Times New Roman" w:hAnsi="&amp;quot" w:cs="Times New Roman"/>
          <w:color w:val="000000"/>
          <w:sz w:val="24"/>
          <w:szCs w:val="24"/>
          <w:lang w:eastAsia="en-GB"/>
        </w:rPr>
      </w:pPr>
      <w:r w:rsidRPr="009B641C">
        <w:rPr>
          <w:rFonts w:ascii="&amp;quot" w:eastAsia="Times New Roman" w:hAnsi="&amp;quot" w:cs="Times New Roman"/>
          <w:color w:val="000000"/>
          <w:sz w:val="24"/>
          <w:szCs w:val="24"/>
          <w:lang w:eastAsia="en-GB"/>
        </w:rPr>
        <w:t> </w:t>
      </w:r>
    </w:p>
    <w:p w14:paraId="5532B622" w14:textId="77777777" w:rsidR="009B641C" w:rsidRPr="009B641C" w:rsidRDefault="009B641C" w:rsidP="009B641C">
      <w:pPr>
        <w:spacing w:line="256" w:lineRule="auto"/>
        <w:rPr>
          <w:rFonts w:ascii="&amp;quot" w:eastAsia="Times New Roman" w:hAnsi="&amp;quot" w:cs="Times New Roman"/>
          <w:color w:val="000000"/>
          <w:sz w:val="24"/>
          <w:szCs w:val="24"/>
          <w:lang w:eastAsia="en-GB"/>
        </w:rPr>
      </w:pPr>
      <w:r w:rsidRPr="009B641C">
        <w:rPr>
          <w:rFonts w:ascii="&amp;quot" w:eastAsia="Times New Roman" w:hAnsi="&amp;quot" w:cs="Times New Roman"/>
          <w:b/>
          <w:bCs/>
          <w:color w:val="000000"/>
          <w:sz w:val="24"/>
          <w:szCs w:val="24"/>
          <w:lang w:eastAsia="en-GB"/>
        </w:rPr>
        <w:t>WHRC/the Declaration is anti-trans/transphobic:</w:t>
      </w:r>
    </w:p>
    <w:p w14:paraId="158206D4" w14:textId="77777777" w:rsidR="009B641C" w:rsidRPr="009B641C" w:rsidRDefault="009B641C" w:rsidP="009B641C">
      <w:pPr>
        <w:spacing w:line="256" w:lineRule="auto"/>
        <w:rPr>
          <w:rFonts w:ascii="&amp;quot" w:eastAsia="Times New Roman" w:hAnsi="&amp;quot" w:cs="Times New Roman"/>
          <w:color w:val="000000"/>
          <w:sz w:val="24"/>
          <w:szCs w:val="24"/>
          <w:lang w:eastAsia="en-GB"/>
        </w:rPr>
      </w:pPr>
      <w:r w:rsidRPr="009B641C">
        <w:rPr>
          <w:rFonts w:ascii="&amp;quot" w:eastAsia="Times New Roman" w:hAnsi="&amp;quot" w:cs="Times New Roman"/>
          <w:color w:val="000000"/>
          <w:sz w:val="24"/>
          <w:szCs w:val="24"/>
          <w:lang w:eastAsia="en-GB"/>
        </w:rPr>
        <w:t>The Declaration does not contain any insults towards men with female gender identities except to say that they cannot be included in the category of women in relation to human rights without threatening the rights of women. This may make such men feel uncomfortable but is not ‘transphobic’.</w:t>
      </w:r>
    </w:p>
    <w:p w14:paraId="384CA9A4" w14:textId="77777777" w:rsidR="009B641C" w:rsidRPr="009B641C" w:rsidRDefault="009B641C" w:rsidP="009B641C">
      <w:pPr>
        <w:spacing w:line="256" w:lineRule="auto"/>
        <w:rPr>
          <w:rFonts w:ascii="&amp;quot" w:eastAsia="Times New Roman" w:hAnsi="&amp;quot" w:cs="Times New Roman"/>
          <w:color w:val="000000"/>
          <w:sz w:val="24"/>
          <w:szCs w:val="24"/>
          <w:lang w:eastAsia="en-GB"/>
        </w:rPr>
      </w:pPr>
      <w:r w:rsidRPr="009B641C">
        <w:rPr>
          <w:rFonts w:ascii="&amp;quot" w:eastAsia="Times New Roman" w:hAnsi="&amp;quot" w:cs="Times New Roman"/>
          <w:color w:val="000000"/>
          <w:sz w:val="24"/>
          <w:szCs w:val="24"/>
          <w:lang w:eastAsia="en-GB"/>
        </w:rPr>
        <w:t> </w:t>
      </w:r>
    </w:p>
    <w:p w14:paraId="4E9ACE56" w14:textId="77777777" w:rsidR="009B641C" w:rsidRPr="009B641C" w:rsidRDefault="009B641C" w:rsidP="009B641C">
      <w:pPr>
        <w:spacing w:line="256" w:lineRule="auto"/>
        <w:rPr>
          <w:rFonts w:ascii="&amp;quot" w:eastAsia="Times New Roman" w:hAnsi="&amp;quot" w:cs="Times New Roman"/>
          <w:b/>
          <w:bCs/>
          <w:color w:val="000000"/>
          <w:sz w:val="24"/>
          <w:szCs w:val="24"/>
          <w:lang w:eastAsia="en-GB"/>
        </w:rPr>
      </w:pPr>
      <w:r w:rsidRPr="009B641C">
        <w:rPr>
          <w:rFonts w:ascii="&amp;quot" w:eastAsia="Times New Roman" w:hAnsi="&amp;quot" w:cs="Times New Roman"/>
          <w:b/>
          <w:bCs/>
          <w:color w:val="000000"/>
          <w:sz w:val="24"/>
          <w:szCs w:val="24"/>
          <w:lang w:eastAsia="en-GB"/>
        </w:rPr>
        <w:t>WHRC refers to trans people as parasites:</w:t>
      </w:r>
    </w:p>
    <w:p w14:paraId="667DAB36" w14:textId="154336D2" w:rsidR="009B641C" w:rsidRPr="009B641C" w:rsidRDefault="009B641C" w:rsidP="009B641C">
      <w:pPr>
        <w:spacing w:line="256" w:lineRule="auto"/>
        <w:rPr>
          <w:rFonts w:ascii="&amp;quot" w:eastAsia="Times New Roman" w:hAnsi="&amp;quot" w:cs="Times New Roman"/>
          <w:color w:val="000000"/>
          <w:sz w:val="24"/>
          <w:szCs w:val="24"/>
          <w:lang w:eastAsia="en-GB"/>
        </w:rPr>
      </w:pPr>
      <w:r w:rsidRPr="009B641C">
        <w:rPr>
          <w:rFonts w:ascii="&amp;quot" w:eastAsia="Times New Roman" w:hAnsi="&amp;quot" w:cs="Times New Roman"/>
          <w:color w:val="000000"/>
          <w:sz w:val="24"/>
          <w:szCs w:val="24"/>
          <w:lang w:eastAsia="en-GB"/>
        </w:rPr>
        <w:t>This word does not appear in the Declaration or any publications by the WHRC.</w:t>
      </w:r>
    </w:p>
    <w:p w14:paraId="3D4803C4" w14:textId="32C11845" w:rsidR="009B641C" w:rsidRPr="009B641C" w:rsidRDefault="009B641C" w:rsidP="009B641C">
      <w:pPr>
        <w:spacing w:line="256" w:lineRule="auto"/>
        <w:rPr>
          <w:rFonts w:ascii="&amp;quot" w:eastAsia="Times New Roman" w:hAnsi="&amp;quot" w:cs="Times New Roman"/>
          <w:color w:val="000000"/>
          <w:sz w:val="24"/>
          <w:szCs w:val="24"/>
          <w:lang w:eastAsia="en-GB"/>
        </w:rPr>
      </w:pPr>
      <w:r w:rsidRPr="009B641C">
        <w:rPr>
          <w:rFonts w:ascii="&amp;quot" w:eastAsia="Times New Roman" w:hAnsi="&amp;quot" w:cs="Times New Roman"/>
          <w:color w:val="000000"/>
          <w:sz w:val="24"/>
          <w:szCs w:val="24"/>
          <w:lang w:eastAsia="en-GB"/>
        </w:rPr>
        <w:br/>
      </w:r>
      <w:r w:rsidRPr="009B641C">
        <w:rPr>
          <w:rFonts w:ascii="&amp;quot" w:eastAsia="Times New Roman" w:hAnsi="&amp;quot" w:cs="Times New Roman"/>
          <w:b/>
          <w:bCs/>
          <w:color w:val="000000"/>
          <w:sz w:val="24"/>
          <w:szCs w:val="24"/>
          <w:lang w:eastAsia="en-GB"/>
        </w:rPr>
        <w:t>The Declaration takes rights from trans people</w:t>
      </w:r>
      <w:r w:rsidRPr="009B641C">
        <w:rPr>
          <w:rFonts w:ascii="&amp;quot" w:eastAsia="Times New Roman" w:hAnsi="&amp;quot" w:cs="Times New Roman"/>
          <w:color w:val="000000"/>
          <w:sz w:val="24"/>
          <w:szCs w:val="24"/>
          <w:lang w:eastAsia="en-GB"/>
        </w:rPr>
        <w:t>:</w:t>
      </w:r>
    </w:p>
    <w:p w14:paraId="0EC540FC" w14:textId="77777777" w:rsidR="009B641C" w:rsidRPr="009B641C" w:rsidRDefault="009B641C" w:rsidP="009B641C">
      <w:pPr>
        <w:spacing w:line="256" w:lineRule="auto"/>
        <w:rPr>
          <w:rFonts w:ascii="&amp;quot" w:eastAsia="Times New Roman" w:hAnsi="&amp;quot" w:cs="Times New Roman"/>
          <w:color w:val="000000"/>
          <w:sz w:val="24"/>
          <w:szCs w:val="24"/>
          <w:lang w:eastAsia="en-GB"/>
        </w:rPr>
      </w:pPr>
      <w:r w:rsidRPr="009B641C">
        <w:rPr>
          <w:rFonts w:ascii="&amp;quot" w:eastAsia="Times New Roman" w:hAnsi="&amp;quot" w:cs="Times New Roman"/>
          <w:color w:val="000000"/>
          <w:sz w:val="24"/>
          <w:szCs w:val="24"/>
          <w:lang w:eastAsia="en-GB"/>
        </w:rPr>
        <w:t xml:space="preserve">See above. The Declaration argues that men who have female gender identities should not be included in the category of women in relation to human rights. Men who consider themselves ‘trans’ hold all the other rights that men have always possessed. Those are not taken away. The WHRC considers that all persons who act in ways which do not conform with sex stereotypes should be protected from discrimination. </w:t>
      </w:r>
    </w:p>
    <w:p w14:paraId="74C4607C" w14:textId="34CCDECB" w:rsidR="009B641C" w:rsidRPr="009B641C" w:rsidRDefault="009B641C" w:rsidP="009B641C">
      <w:pPr>
        <w:spacing w:line="256" w:lineRule="auto"/>
        <w:rPr>
          <w:rFonts w:ascii="&amp;quot" w:eastAsia="Times New Roman" w:hAnsi="&amp;quot" w:cs="Times New Roman"/>
          <w:color w:val="000000"/>
          <w:sz w:val="24"/>
          <w:szCs w:val="24"/>
          <w:lang w:eastAsia="en-GB"/>
        </w:rPr>
      </w:pPr>
      <w:r w:rsidRPr="009B641C">
        <w:rPr>
          <w:rFonts w:ascii="&amp;quot" w:eastAsia="Times New Roman" w:hAnsi="&amp;quot" w:cs="Times New Roman"/>
          <w:color w:val="000000"/>
          <w:sz w:val="24"/>
          <w:szCs w:val="24"/>
          <w:lang w:eastAsia="en-GB"/>
        </w:rPr>
        <w:lastRenderedPageBreak/>
        <w:t> </w:t>
      </w:r>
      <w:r w:rsidRPr="009B641C">
        <w:rPr>
          <w:rFonts w:ascii="&amp;quot" w:eastAsia="Times New Roman" w:hAnsi="&amp;quot" w:cs="Times New Roman"/>
          <w:b/>
          <w:bCs/>
          <w:color w:val="000000"/>
          <w:sz w:val="24"/>
          <w:szCs w:val="24"/>
          <w:lang w:eastAsia="en-GB"/>
        </w:rPr>
        <w:t>WHRC are monsters/fascists/is a hate group</w:t>
      </w:r>
      <w:r w:rsidRPr="009B641C">
        <w:rPr>
          <w:rFonts w:ascii="&amp;quot" w:eastAsia="Times New Roman" w:hAnsi="&amp;quot" w:cs="Times New Roman"/>
          <w:color w:val="000000"/>
          <w:sz w:val="24"/>
          <w:szCs w:val="24"/>
          <w:lang w:eastAsia="en-GB"/>
        </w:rPr>
        <w:t>:</w:t>
      </w:r>
    </w:p>
    <w:p w14:paraId="2CB66B0F" w14:textId="77777777" w:rsidR="009B641C" w:rsidRPr="009B641C" w:rsidRDefault="009B641C" w:rsidP="009B641C">
      <w:pPr>
        <w:spacing w:line="256" w:lineRule="auto"/>
        <w:rPr>
          <w:rFonts w:ascii="&amp;quot" w:eastAsia="Times New Roman" w:hAnsi="&amp;quot" w:cs="Times New Roman"/>
          <w:color w:val="000000"/>
          <w:sz w:val="24"/>
          <w:szCs w:val="24"/>
          <w:lang w:eastAsia="en-GB"/>
        </w:rPr>
      </w:pPr>
      <w:r w:rsidRPr="009B641C">
        <w:rPr>
          <w:rFonts w:ascii="&amp;quot" w:eastAsia="Times New Roman" w:hAnsi="&amp;quot" w:cs="Times New Roman"/>
          <w:color w:val="000000"/>
          <w:sz w:val="24"/>
          <w:szCs w:val="24"/>
          <w:lang w:eastAsia="en-GB"/>
        </w:rPr>
        <w:t xml:space="preserve">There is nothing hateful about women seeking to protect their sex-based rights. This might make some men feel uncomfortable, but it is quite an overreaction to call feminists monsters/fascists. </w:t>
      </w:r>
    </w:p>
    <w:p w14:paraId="6D35FB95" w14:textId="77777777" w:rsidR="009B641C" w:rsidRPr="009B641C" w:rsidRDefault="009B641C" w:rsidP="009B641C">
      <w:pPr>
        <w:spacing w:line="256" w:lineRule="auto"/>
        <w:rPr>
          <w:rFonts w:ascii="&amp;quot" w:eastAsia="Times New Roman" w:hAnsi="&amp;quot" w:cs="Times New Roman"/>
          <w:color w:val="000000"/>
          <w:sz w:val="24"/>
          <w:szCs w:val="24"/>
          <w:lang w:eastAsia="en-GB"/>
        </w:rPr>
      </w:pPr>
      <w:r w:rsidRPr="009B641C">
        <w:rPr>
          <w:rFonts w:ascii="&amp;quot" w:eastAsia="Times New Roman" w:hAnsi="&amp;quot" w:cs="Times New Roman"/>
          <w:color w:val="000000"/>
          <w:sz w:val="24"/>
          <w:szCs w:val="24"/>
          <w:lang w:eastAsia="en-GB"/>
        </w:rPr>
        <w:t> </w:t>
      </w:r>
    </w:p>
    <w:p w14:paraId="4B017ADD" w14:textId="77777777" w:rsidR="009B641C" w:rsidRPr="009B641C" w:rsidRDefault="009B641C" w:rsidP="009B641C">
      <w:pPr>
        <w:spacing w:line="256" w:lineRule="auto"/>
        <w:rPr>
          <w:rFonts w:ascii="&amp;quot" w:eastAsia="Times New Roman" w:hAnsi="&amp;quot" w:cs="Times New Roman"/>
          <w:color w:val="000000"/>
          <w:sz w:val="24"/>
          <w:szCs w:val="24"/>
          <w:lang w:eastAsia="en-GB"/>
        </w:rPr>
      </w:pPr>
      <w:r w:rsidRPr="009B641C">
        <w:rPr>
          <w:rFonts w:ascii="&amp;quot" w:eastAsia="Times New Roman" w:hAnsi="&amp;quot" w:cs="Times New Roman"/>
          <w:b/>
          <w:bCs/>
          <w:color w:val="000000"/>
          <w:sz w:val="24"/>
          <w:szCs w:val="24"/>
          <w:lang w:eastAsia="en-GB"/>
        </w:rPr>
        <w:t xml:space="preserve">WHRC/the Declaration are funded by/linked to US far right groups: </w:t>
      </w:r>
    </w:p>
    <w:p w14:paraId="12D35451" w14:textId="77777777" w:rsidR="009B641C" w:rsidRPr="009B641C" w:rsidRDefault="009B641C" w:rsidP="009B641C">
      <w:pPr>
        <w:spacing w:line="256" w:lineRule="auto"/>
        <w:rPr>
          <w:rFonts w:ascii="&amp;quot" w:eastAsia="Times New Roman" w:hAnsi="&amp;quot" w:cs="Times New Roman"/>
          <w:color w:val="000000"/>
          <w:sz w:val="24"/>
          <w:szCs w:val="24"/>
          <w:lang w:eastAsia="en-GB"/>
        </w:rPr>
      </w:pPr>
      <w:r w:rsidRPr="009B641C">
        <w:rPr>
          <w:rFonts w:ascii="&amp;quot" w:eastAsia="Times New Roman" w:hAnsi="&amp;quot" w:cs="Times New Roman"/>
          <w:color w:val="000000"/>
          <w:sz w:val="24"/>
          <w:szCs w:val="24"/>
          <w:lang w:eastAsia="en-GB"/>
        </w:rPr>
        <w:t xml:space="preserve">There is no truth in this. Please indicate your sources. </w:t>
      </w:r>
    </w:p>
    <w:p w14:paraId="50566DB5" w14:textId="77777777" w:rsidR="009B641C" w:rsidRPr="009B641C" w:rsidRDefault="009B641C" w:rsidP="009B641C">
      <w:pPr>
        <w:spacing w:line="256" w:lineRule="auto"/>
        <w:rPr>
          <w:rFonts w:ascii="&amp;quot" w:eastAsia="Times New Roman" w:hAnsi="&amp;quot" w:cs="Times New Roman"/>
          <w:color w:val="000000"/>
          <w:sz w:val="24"/>
          <w:szCs w:val="24"/>
          <w:lang w:eastAsia="en-GB"/>
        </w:rPr>
      </w:pPr>
      <w:r w:rsidRPr="009B641C">
        <w:rPr>
          <w:rFonts w:ascii="&amp;quot" w:eastAsia="Times New Roman" w:hAnsi="&amp;quot" w:cs="Times New Roman"/>
          <w:color w:val="000000"/>
          <w:sz w:val="24"/>
          <w:szCs w:val="24"/>
          <w:lang w:eastAsia="en-GB"/>
        </w:rPr>
        <w:t> </w:t>
      </w:r>
    </w:p>
    <w:p w14:paraId="1EBBA122" w14:textId="77777777" w:rsidR="009B641C" w:rsidRPr="009B641C" w:rsidRDefault="009B641C" w:rsidP="009B641C">
      <w:pPr>
        <w:spacing w:line="256" w:lineRule="auto"/>
        <w:rPr>
          <w:rFonts w:ascii="&amp;quot" w:eastAsia="Times New Roman" w:hAnsi="&amp;quot" w:cs="Times New Roman"/>
          <w:color w:val="000000"/>
          <w:sz w:val="24"/>
          <w:szCs w:val="24"/>
          <w:lang w:eastAsia="en-GB"/>
        </w:rPr>
      </w:pPr>
      <w:r w:rsidRPr="009B641C">
        <w:rPr>
          <w:rFonts w:ascii="&amp;quot" w:eastAsia="Times New Roman" w:hAnsi="&amp;quot" w:cs="Times New Roman"/>
          <w:b/>
          <w:bCs/>
          <w:color w:val="000000"/>
          <w:sz w:val="24"/>
          <w:szCs w:val="24"/>
          <w:lang w:eastAsia="en-GB"/>
        </w:rPr>
        <w:t>WHRC is campaigning against minority rights:</w:t>
      </w:r>
    </w:p>
    <w:p w14:paraId="5B191D01" w14:textId="328BCF6A" w:rsidR="009B641C" w:rsidRPr="009B641C" w:rsidRDefault="009B641C" w:rsidP="009B641C">
      <w:pPr>
        <w:spacing w:line="256" w:lineRule="auto"/>
        <w:rPr>
          <w:rFonts w:ascii="&amp;quot" w:eastAsia="Times New Roman" w:hAnsi="&amp;quot" w:cs="Times New Roman"/>
          <w:color w:val="000000"/>
          <w:sz w:val="24"/>
          <w:szCs w:val="24"/>
          <w:lang w:eastAsia="en-GB"/>
        </w:rPr>
      </w:pPr>
      <w:r w:rsidRPr="009B641C">
        <w:rPr>
          <w:rFonts w:ascii="&amp;quot" w:eastAsia="Times New Roman" w:hAnsi="&amp;quot" w:cs="Times New Roman"/>
          <w:b/>
          <w:bCs/>
          <w:color w:val="000000"/>
          <w:sz w:val="24"/>
          <w:szCs w:val="24"/>
          <w:lang w:eastAsia="en-GB"/>
        </w:rPr>
        <w:t> </w:t>
      </w:r>
      <w:bookmarkStart w:id="0" w:name="_GoBack"/>
      <w:bookmarkEnd w:id="0"/>
      <w:r w:rsidRPr="009B641C">
        <w:rPr>
          <w:rFonts w:ascii="&amp;quot" w:eastAsia="Times New Roman" w:hAnsi="&amp;quot" w:cs="Times New Roman"/>
          <w:color w:val="000000"/>
          <w:sz w:val="24"/>
          <w:szCs w:val="24"/>
          <w:lang w:eastAsia="en-GB"/>
        </w:rPr>
        <w:t xml:space="preserve">WHRC is seeking to reaffirm the human rights of women as set out in UN documents. There is no campaigning against any other group of persons. </w:t>
      </w:r>
    </w:p>
    <w:p w14:paraId="6D7A9FE7" w14:textId="77777777" w:rsidR="00CD4FF2" w:rsidRPr="009B641C" w:rsidRDefault="00CD4FF2">
      <w:pPr>
        <w:rPr>
          <w:sz w:val="24"/>
          <w:szCs w:val="24"/>
        </w:rPr>
      </w:pPr>
    </w:p>
    <w:sectPr w:rsidR="00CD4FF2" w:rsidRPr="009B64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41C"/>
    <w:rsid w:val="009B641C"/>
    <w:rsid w:val="00CD4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46228"/>
  <w15:chartTrackingRefBased/>
  <w15:docId w15:val="{94FAA2C5-A192-49FC-9390-670C2B168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13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brew</dc:creator>
  <cp:keywords/>
  <dc:description/>
  <cp:lastModifiedBy>jo brew</cp:lastModifiedBy>
  <cp:revision>1</cp:revision>
  <dcterms:created xsi:type="dcterms:W3CDTF">2019-11-11T20:13:00Z</dcterms:created>
  <dcterms:modified xsi:type="dcterms:W3CDTF">2019-11-11T20:15:00Z</dcterms:modified>
</cp:coreProperties>
</file>